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65F3AB1E"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6B5C72">
        <w:rPr>
          <w:rFonts w:eastAsia="Malgun Gothic"/>
          <w:b/>
          <w:bCs/>
          <w:sz w:val="28"/>
        </w:rPr>
        <w:t>#</w:t>
      </w:r>
      <w:r w:rsidR="009C4B66">
        <w:rPr>
          <w:rFonts w:eastAsia="Malgun Gothic"/>
          <w:b/>
          <w:bCs/>
          <w:sz w:val="28"/>
        </w:rPr>
        <w:t>82</w:t>
      </w:r>
      <w:r w:rsidR="009C4B66">
        <w:rPr>
          <w:rFonts w:eastAsia="Malgun Gothic"/>
          <w:b/>
          <w:bCs/>
          <w:sz w:val="28"/>
        </w:rPr>
        <w:tab/>
      </w:r>
      <w:r w:rsidR="00BC6E8D">
        <w:rPr>
          <w:rFonts w:eastAsia="Malgun Gothic"/>
          <w:b/>
          <w:bCs/>
          <w:sz w:val="28"/>
        </w:rPr>
        <w:tab/>
      </w:r>
      <w:r w:rsidR="00A2208A" w:rsidRPr="00C94B58">
        <w:rPr>
          <w:rFonts w:eastAsia="Malgun Gothic"/>
          <w:b/>
          <w:bCs/>
          <w:sz w:val="28"/>
        </w:rPr>
        <w:t>R5-1</w:t>
      </w:r>
      <w:r w:rsidR="00C94B58" w:rsidRPr="00C94B58">
        <w:rPr>
          <w:rFonts w:eastAsia="Malgun Gothic"/>
          <w:b/>
          <w:bCs/>
          <w:sz w:val="28"/>
        </w:rPr>
        <w:t>9</w:t>
      </w:r>
      <w:r w:rsidR="00372672">
        <w:rPr>
          <w:rFonts w:eastAsia="Malgun Gothic"/>
          <w:b/>
          <w:bCs/>
          <w:sz w:val="28"/>
        </w:rPr>
        <w:t>2128</w:t>
      </w:r>
    </w:p>
    <w:p w14:paraId="4A54CA72" w14:textId="1EB35819" w:rsidR="00A2208A" w:rsidRPr="00B55C47" w:rsidRDefault="009C4B66"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Athens, Greece, </w:t>
      </w:r>
      <w:r w:rsidR="00BC6E8D">
        <w:rPr>
          <w:rFonts w:eastAsia="Malgun Gothic"/>
          <w:b/>
          <w:bCs/>
          <w:sz w:val="28"/>
          <w:lang w:eastAsia="ko-KR"/>
        </w:rPr>
        <w:t>2</w:t>
      </w:r>
      <w:r>
        <w:rPr>
          <w:rFonts w:eastAsia="Malgun Gothic"/>
          <w:b/>
          <w:bCs/>
          <w:sz w:val="28"/>
          <w:lang w:eastAsia="ko-KR"/>
        </w:rPr>
        <w:t>5</w:t>
      </w:r>
      <w:r w:rsidR="006B5C72">
        <w:rPr>
          <w:rFonts w:eastAsia="Malgun Gothic"/>
          <w:b/>
          <w:bCs/>
          <w:sz w:val="28"/>
          <w:vertAlign w:val="superscript"/>
          <w:lang w:eastAsia="ko-KR"/>
        </w:rPr>
        <w:t>t</w:t>
      </w:r>
      <w:r>
        <w:rPr>
          <w:rFonts w:eastAsia="Malgun Gothic"/>
          <w:b/>
          <w:bCs/>
          <w:sz w:val="28"/>
          <w:vertAlign w:val="superscript"/>
          <w:lang w:eastAsia="ko-KR"/>
        </w:rPr>
        <w:t>h</w:t>
      </w:r>
      <w:r w:rsidR="00725DCB" w:rsidRPr="00B55C47">
        <w:rPr>
          <w:rFonts w:eastAsia="Malgun Gothic"/>
          <w:b/>
          <w:bCs/>
          <w:sz w:val="28"/>
          <w:lang w:eastAsia="ko-KR"/>
        </w:rPr>
        <w:t xml:space="preserve"> </w:t>
      </w:r>
      <w:r>
        <w:rPr>
          <w:rFonts w:eastAsia="Malgun Gothic"/>
          <w:b/>
          <w:bCs/>
          <w:sz w:val="28"/>
          <w:lang w:eastAsia="ko-KR"/>
        </w:rPr>
        <w:t xml:space="preserve">February </w:t>
      </w:r>
      <w:r w:rsidR="00725DCB" w:rsidRPr="00B55C47">
        <w:rPr>
          <w:rFonts w:eastAsia="Malgun Gothic"/>
          <w:b/>
          <w:bCs/>
          <w:sz w:val="28"/>
          <w:lang w:eastAsia="ko-KR"/>
        </w:rPr>
        <w:t xml:space="preserve">– </w:t>
      </w:r>
      <w:r>
        <w:rPr>
          <w:rFonts w:eastAsia="Malgun Gothic"/>
          <w:b/>
          <w:bCs/>
          <w:sz w:val="28"/>
          <w:lang w:eastAsia="ko-KR"/>
        </w:rPr>
        <w:t>1</w:t>
      </w:r>
      <w:r>
        <w:rPr>
          <w:rFonts w:eastAsia="Malgun Gothic"/>
          <w:b/>
          <w:bCs/>
          <w:sz w:val="28"/>
          <w:vertAlign w:val="superscript"/>
          <w:lang w:eastAsia="ko-KR"/>
        </w:rPr>
        <w:t>st</w:t>
      </w:r>
      <w:r w:rsidR="00725DCB" w:rsidRPr="00B55C47">
        <w:rPr>
          <w:rFonts w:eastAsia="Malgun Gothic"/>
          <w:b/>
          <w:bCs/>
          <w:sz w:val="28"/>
          <w:lang w:eastAsia="ko-KR"/>
        </w:rPr>
        <w:t xml:space="preserve"> </w:t>
      </w:r>
      <w:r>
        <w:rPr>
          <w:rFonts w:eastAsia="Malgun Gothic"/>
          <w:b/>
          <w:bCs/>
          <w:sz w:val="28"/>
          <w:lang w:eastAsia="ko-KR"/>
        </w:rPr>
        <w:t>March</w:t>
      </w:r>
      <w:r w:rsidR="006B5C72">
        <w:rPr>
          <w:rFonts w:eastAsia="Malgun Gothic"/>
          <w:b/>
          <w:bCs/>
          <w:sz w:val="28"/>
          <w:lang w:eastAsia="ko-KR"/>
        </w:rPr>
        <w:t xml:space="preserve">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2F37696C" w:rsidR="00A2208A" w:rsidRPr="00BC6E8D" w:rsidRDefault="00A2208A" w:rsidP="00A2208A">
      <w:pPr>
        <w:ind w:left="2160" w:hanging="2160"/>
      </w:pPr>
      <w:r w:rsidRPr="00B55C47">
        <w:rPr>
          <w:b/>
        </w:rPr>
        <w:t>Title:</w:t>
      </w:r>
      <w:r w:rsidRPr="00B55C47">
        <w:rPr>
          <w:b/>
        </w:rPr>
        <w:tab/>
      </w:r>
      <w:r w:rsidR="00BF4E5F" w:rsidRPr="00BF4E5F">
        <w:t>On the QoQZ Procedure for Spurious Emissions</w:t>
      </w:r>
    </w:p>
    <w:p w14:paraId="0483421E" w14:textId="2CEA99DA" w:rsidR="00A2208A" w:rsidRPr="00B55C47" w:rsidRDefault="00A2208A" w:rsidP="00A2208A">
      <w:pPr>
        <w:rPr>
          <w:bCs/>
          <w:lang w:eastAsia="ja-JP"/>
        </w:rPr>
      </w:pPr>
      <w:r w:rsidRPr="00B55C47">
        <w:rPr>
          <w:b/>
        </w:rPr>
        <w:t>Agenda Item:</w:t>
      </w:r>
      <w:r w:rsidR="00BB2F5E" w:rsidRPr="00B55C47">
        <w:tab/>
      </w:r>
      <w:r w:rsidR="00BB2F5E" w:rsidRPr="00B55C47">
        <w:tab/>
        <w:t>5.</w:t>
      </w:r>
      <w:r w:rsidR="009C4B66">
        <w:t>3.8.17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3C39F9E" w:rsidR="00F002EE" w:rsidRPr="00B55C47" w:rsidRDefault="00B3129D" w:rsidP="008159B1">
      <w:pPr>
        <w:jc w:val="both"/>
      </w:pPr>
      <w:bookmarkStart w:id="0" w:name="OLE_LINK10"/>
      <w:bookmarkStart w:id="1" w:name="OLE_LINK11"/>
      <w:r w:rsidRPr="00D75F11">
        <w:t xml:space="preserve">At RAN5 #4-5G-NR Adhoc, </w:t>
      </w:r>
      <w:r w:rsidR="00BF4E5F" w:rsidRPr="00D75F11">
        <w:t xml:space="preserve">details of the procedure for the characterization of the </w:t>
      </w:r>
      <w:r w:rsidR="00D75F11">
        <w:t>quality of quiet zone (</w:t>
      </w:r>
      <w:r w:rsidR="00BF4E5F" w:rsidRPr="00D75F11">
        <w:t>QoQZ</w:t>
      </w:r>
      <w:r w:rsidR="00D75F11">
        <w:t>)</w:t>
      </w:r>
      <w:r w:rsidR="00BF4E5F" w:rsidRPr="00D75F11">
        <w:t xml:space="preserve"> for spurious emissions have been discussed [1-</w:t>
      </w:r>
      <w:r w:rsidR="00D75F11" w:rsidRPr="00D75F11">
        <w:t>3</w:t>
      </w:r>
      <w:r w:rsidR="00BF4E5F" w:rsidRPr="00D75F11">
        <w:t>] and</w:t>
      </w:r>
      <w:r w:rsidR="00B07950">
        <w:t xml:space="preserve"> the outcome has been summarized in </w:t>
      </w:r>
      <w:r w:rsidR="00BF4E5F" w:rsidRPr="00D75F11">
        <w:t>a way forward [</w:t>
      </w:r>
      <w:r w:rsidR="00D75F11" w:rsidRPr="00D75F11">
        <w:t>4</w:t>
      </w:r>
      <w:r w:rsidR="00B07950">
        <w:t>].</w:t>
      </w:r>
      <w:r w:rsidR="00BF4E5F" w:rsidRPr="00D75F11">
        <w:t xml:space="preserve"> In this contribution, we shed light on the implications when the backward direction, i.e., orienting</w:t>
      </w:r>
      <w:r w:rsidR="00BF4E5F">
        <w:t xml:space="preserve"> the reference antenna towards the positioner, is included in the  QoQZ</w:t>
      </w:r>
      <w:r w:rsidR="00B07950">
        <w:t xml:space="preserve"> procedure</w:t>
      </w:r>
      <w:r w:rsidR="00BF4E5F">
        <w:t>.</w:t>
      </w:r>
    </w:p>
    <w:p w14:paraId="59D92B3E" w14:textId="0EF13871" w:rsidR="00FC45FA" w:rsidRDefault="00BC6E8D" w:rsidP="00FC45FA">
      <w:pPr>
        <w:pStyle w:val="berschrift1"/>
        <w:rPr>
          <w:lang w:val="en-US"/>
        </w:rPr>
      </w:pPr>
      <w:r>
        <w:rPr>
          <w:lang w:val="en-US"/>
        </w:rPr>
        <w:t>Discussion</w:t>
      </w:r>
    </w:p>
    <w:p w14:paraId="229A7B16" w14:textId="23741A85" w:rsidR="00D75F11" w:rsidRDefault="00BF4E5F" w:rsidP="00BF4E5F">
      <w:r>
        <w:t xml:space="preserve">In the </w:t>
      </w:r>
      <w:r w:rsidR="00D75F11">
        <w:t>way forward [4</w:t>
      </w:r>
      <w:r>
        <w:t>]</w:t>
      </w:r>
      <w:r w:rsidR="00D75F11">
        <w:t xml:space="preserve">, two possible options for the orientations of the reference antenna have been identified as displayed in Figure 1. </w:t>
      </w:r>
    </w:p>
    <w:p w14:paraId="7B8A5786" w14:textId="6802C9EA" w:rsidR="00D75F11" w:rsidRDefault="00D75F11" w:rsidP="00BF4E5F">
      <w:r>
        <w:rPr>
          <w:noProof/>
          <w:lang w:eastAsia="en-US"/>
        </w:rPr>
        <w:drawing>
          <wp:inline distT="0" distB="0" distL="0" distR="0" wp14:anchorId="4E090739" wp14:editId="41C6E8FC">
            <wp:extent cx="5943600" cy="1555115"/>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555115"/>
                    </a:xfrm>
                    <a:prstGeom prst="rect">
                      <a:avLst/>
                    </a:prstGeom>
                  </pic:spPr>
                </pic:pic>
              </a:graphicData>
            </a:graphic>
          </wp:inline>
        </w:drawing>
      </w:r>
    </w:p>
    <w:p w14:paraId="143F9107" w14:textId="77777777" w:rsidR="00D75F11" w:rsidRDefault="00D75F11" w:rsidP="00D75F11">
      <w:pPr>
        <w:spacing w:after="240"/>
        <w:jc w:val="center"/>
      </w:pPr>
      <w:r w:rsidRPr="00D75F11">
        <w:rPr>
          <w:b/>
        </w:rPr>
        <w:t>Figure 1:</w:t>
      </w:r>
      <w:r>
        <w:t xml:space="preserve"> Reference antenna orientations for QoQZ procedure</w:t>
      </w:r>
    </w:p>
    <w:p w14:paraId="570EFD0E" w14:textId="6C7AEDDB" w:rsidR="00BF4E5F" w:rsidRDefault="00D75F11" w:rsidP="00BF4E5F">
      <w:r>
        <w:t xml:space="preserve">In the </w:t>
      </w:r>
      <w:r w:rsidR="00BF4E5F">
        <w:t xml:space="preserve">first option the reference antenna is only orientated in the forward direction, i.e. away from the positioner structure. Whereas, in the second option the antenna is </w:t>
      </w:r>
      <w:r w:rsidR="00B07950">
        <w:t xml:space="preserve">in addition </w:t>
      </w:r>
      <w:r>
        <w:t>orientated backward facing. In this paper, we focus on the second option.</w:t>
      </w:r>
    </w:p>
    <w:p w14:paraId="417F0603" w14:textId="4621B8D6" w:rsidR="00D75F11" w:rsidRDefault="00D75F11" w:rsidP="00B3129D">
      <w:pPr>
        <w:rPr>
          <w:lang w:eastAsia="en-US"/>
        </w:rPr>
      </w:pPr>
      <w:r>
        <w:rPr>
          <w:lang w:eastAsia="en-US"/>
        </w:rPr>
        <w:t>Due to structural, mechanical and functional requirements, a positioner inevitably contains materials which are not transparent for microwaves resulting in absorption and reflections. The latter usually are minimized by absorbers, in order to achieve a good in-band QoQZ. Thus in the backward facing case the radiation of the reference antenna is absorbed and</w:t>
      </w:r>
      <w:r w:rsidR="00B07950">
        <w:rPr>
          <w:lang w:eastAsia="en-US"/>
        </w:rPr>
        <w:t xml:space="preserve"> the</w:t>
      </w:r>
      <w:r>
        <w:rPr>
          <w:lang w:eastAsia="en-US"/>
        </w:rPr>
        <w:t xml:space="preserve"> measured efficiency is essentially </w:t>
      </w:r>
      <w:r w:rsidR="00B07950">
        <w:rPr>
          <w:lang w:eastAsia="en-US"/>
        </w:rPr>
        <w:t xml:space="preserve">given by </w:t>
      </w:r>
      <w:r>
        <w:rPr>
          <w:lang w:eastAsia="en-US"/>
        </w:rPr>
        <w:t>the noise floor of the VNA. The latter depends on the applied VNA model and settings such as the measurement bandwidth.</w:t>
      </w:r>
    </w:p>
    <w:p w14:paraId="394A152C" w14:textId="68E72C06" w:rsidR="00D75F11" w:rsidRDefault="00D75F11" w:rsidP="00B3129D">
      <w:pPr>
        <w:rPr>
          <w:b/>
          <w:lang w:eastAsia="en-US"/>
        </w:rPr>
      </w:pPr>
      <w:r w:rsidRPr="00D75F11">
        <w:rPr>
          <w:b/>
          <w:lang w:eastAsia="en-US"/>
        </w:rPr>
        <w:lastRenderedPageBreak/>
        <w:t>Observation 1: In a well-designed system, the radiation of the reference antenna is absorbed when it is facing backward</w:t>
      </w:r>
      <w:r w:rsidR="00B07950">
        <w:rPr>
          <w:b/>
          <w:lang w:eastAsia="en-US"/>
        </w:rPr>
        <w:t>s, i.e.</w:t>
      </w:r>
      <w:r w:rsidRPr="00D75F11">
        <w:rPr>
          <w:b/>
          <w:lang w:eastAsia="en-US"/>
        </w:rPr>
        <w:t xml:space="preserve"> to</w:t>
      </w:r>
      <w:r w:rsidR="00B07950">
        <w:rPr>
          <w:b/>
          <w:lang w:eastAsia="en-US"/>
        </w:rPr>
        <w:t>wards,</w:t>
      </w:r>
      <w:r w:rsidRPr="00D75F11">
        <w:rPr>
          <w:b/>
          <w:lang w:eastAsia="en-US"/>
        </w:rPr>
        <w:t xml:space="preserve"> the positioner. </w:t>
      </w:r>
    </w:p>
    <w:p w14:paraId="6837E7C9" w14:textId="32C426A1" w:rsidR="00D75F11" w:rsidRDefault="00D75F11" w:rsidP="00B3129D">
      <w:pPr>
        <w:rPr>
          <w:b/>
          <w:lang w:eastAsia="en-US"/>
        </w:rPr>
      </w:pPr>
      <w:r>
        <w:rPr>
          <w:b/>
          <w:lang w:eastAsia="en-US"/>
        </w:rPr>
        <w:t xml:space="preserve">Observation 2: </w:t>
      </w:r>
      <w:r w:rsidRPr="00D75F11">
        <w:rPr>
          <w:b/>
          <w:lang w:eastAsia="en-US"/>
        </w:rPr>
        <w:t xml:space="preserve">The associated efficiency measurement result depends on the VNA model and settings and rather represents properties of the VNA than </w:t>
      </w:r>
      <w:r>
        <w:rPr>
          <w:b/>
          <w:lang w:eastAsia="en-US"/>
        </w:rPr>
        <w:t>t</w:t>
      </w:r>
      <w:r w:rsidRPr="00D75F11">
        <w:rPr>
          <w:b/>
          <w:lang w:eastAsia="en-US"/>
        </w:rPr>
        <w:t>he ones of the electromagnetic environment.</w:t>
      </w:r>
    </w:p>
    <w:p w14:paraId="2A0ACFAC" w14:textId="248A68C9" w:rsidR="00D75F11" w:rsidRDefault="00D75F11" w:rsidP="00B3129D">
      <w:pPr>
        <w:rPr>
          <w:lang w:eastAsia="en-US"/>
        </w:rPr>
      </w:pPr>
      <w:r w:rsidRPr="00D75F11">
        <w:rPr>
          <w:lang w:eastAsia="en-US"/>
        </w:rPr>
        <w:t>Assuming a</w:t>
      </w:r>
      <w:r>
        <w:rPr>
          <w:lang w:eastAsia="en-US"/>
        </w:rPr>
        <w:t xml:space="preserve"> typical dynamic range of the VNA </w:t>
      </w:r>
      <w:r w:rsidR="00EE38BD">
        <w:rPr>
          <w:lang w:eastAsia="en-US"/>
        </w:rPr>
        <w:t xml:space="preserve">and path loss of an IFF system </w:t>
      </w:r>
      <w:r>
        <w:rPr>
          <w:lang w:eastAsia="en-US"/>
        </w:rPr>
        <w:t>result</w:t>
      </w:r>
      <w:r w:rsidR="00EE38BD">
        <w:rPr>
          <w:lang w:eastAsia="en-US"/>
        </w:rPr>
        <w:t>s</w:t>
      </w:r>
      <w:r>
        <w:rPr>
          <w:lang w:eastAsia="en-US"/>
        </w:rPr>
        <w:t xml:space="preserve"> in backward facing measurement values roughly 70 dB lower than that of the forward orientation.</w:t>
      </w:r>
      <w:r w:rsidR="00EE38BD">
        <w:rPr>
          <w:lang w:eastAsia="en-US"/>
        </w:rPr>
        <w:t xml:space="preserve"> For 7 positions, 2 orientations and 2 polarizations, this results in a standard deviation of approximately 35dB. </w:t>
      </w:r>
    </w:p>
    <w:p w14:paraId="2AE31C06" w14:textId="5A177A91" w:rsidR="00D75F11" w:rsidRDefault="00EE38BD" w:rsidP="00B3129D">
      <w:pPr>
        <w:rPr>
          <w:b/>
          <w:lang w:eastAsia="en-US"/>
        </w:rPr>
      </w:pPr>
      <w:r>
        <w:rPr>
          <w:b/>
          <w:lang w:eastAsia="en-US"/>
        </w:rPr>
        <w:t>Observation 3: Considering measurements with backward orientation results in an extremely high measurement uncertainty for the QoQZ on the order of 35 dB.</w:t>
      </w:r>
    </w:p>
    <w:p w14:paraId="51C600E4" w14:textId="22F9D766" w:rsidR="00EE38BD" w:rsidRDefault="002B4BA2" w:rsidP="00B3129D">
      <w:pPr>
        <w:rPr>
          <w:lang w:eastAsia="en-US"/>
        </w:rPr>
      </w:pPr>
      <w:r>
        <w:rPr>
          <w:lang w:eastAsia="en-US"/>
        </w:rPr>
        <w:t>Moreover, since the spurious emission requirement is regulatory and fixed, the test tolerance is zero. This results in a misdetection of a spurious emission towards the positioner regardless of the MU of the QoQZ as the test requirement does not depend on the latter, when the DUT is not repositioned during the test case.</w:t>
      </w:r>
    </w:p>
    <w:p w14:paraId="65C924B7" w14:textId="5EC4BA64" w:rsidR="00D679A5" w:rsidRPr="00D679A5" w:rsidRDefault="00D679A5" w:rsidP="00B3129D">
      <w:pPr>
        <w:rPr>
          <w:b/>
          <w:lang w:eastAsia="en-US"/>
        </w:rPr>
      </w:pPr>
      <w:r w:rsidRPr="00D679A5">
        <w:rPr>
          <w:b/>
          <w:lang w:eastAsia="en-US"/>
        </w:rPr>
        <w:t>Observation 4: The misdetection of spurious emissions radiating towards the positioner is independent on the MU of the QoQZ and can only be impeded by a DUT repositioning approach.</w:t>
      </w:r>
    </w:p>
    <w:p w14:paraId="48E3DE02" w14:textId="504877AC" w:rsidR="002B4BA2" w:rsidRDefault="002B4BA2" w:rsidP="00B3129D">
      <w:pPr>
        <w:rPr>
          <w:lang w:eastAsia="en-US"/>
        </w:rPr>
      </w:pPr>
      <w:r>
        <w:rPr>
          <w:lang w:eastAsia="en-US"/>
        </w:rPr>
        <w:t>Taking the above analysis into account we propose:</w:t>
      </w:r>
    </w:p>
    <w:p w14:paraId="0723E418" w14:textId="7EB38A07" w:rsidR="002B4BA2" w:rsidRPr="002B4BA2" w:rsidRDefault="002B4BA2" w:rsidP="00B3129D">
      <w:pPr>
        <w:rPr>
          <w:b/>
          <w:lang w:eastAsia="en-US"/>
        </w:rPr>
      </w:pPr>
      <w:r w:rsidRPr="002B4BA2">
        <w:rPr>
          <w:b/>
          <w:lang w:eastAsia="en-US"/>
        </w:rPr>
        <w:t xml:space="preserve">Proposal 1: </w:t>
      </w:r>
      <w:r>
        <w:rPr>
          <w:b/>
          <w:lang w:eastAsia="en-US"/>
        </w:rPr>
        <w:t>Limit the orientations</w:t>
      </w:r>
      <w:r w:rsidR="00733077">
        <w:rPr>
          <w:b/>
          <w:lang w:eastAsia="en-US"/>
        </w:rPr>
        <w:t xml:space="preserve"> of the reference antenna in</w:t>
      </w:r>
      <w:r>
        <w:rPr>
          <w:b/>
          <w:lang w:eastAsia="en-US"/>
        </w:rPr>
        <w:t xml:space="preserve"> the QoQZ procedure for </w:t>
      </w:r>
      <w:r w:rsidR="00733077">
        <w:rPr>
          <w:b/>
          <w:lang w:eastAsia="en-US"/>
        </w:rPr>
        <w:t>spurious emissions</w:t>
      </w:r>
      <w:r>
        <w:rPr>
          <w:b/>
          <w:lang w:eastAsia="en-US"/>
        </w:rPr>
        <w:t xml:space="preserve"> to the forward</w:t>
      </w:r>
      <w:r w:rsidR="00733077">
        <w:rPr>
          <w:b/>
          <w:lang w:eastAsia="en-US"/>
        </w:rPr>
        <w:t xml:space="preserve"> facing</w:t>
      </w:r>
      <w:r>
        <w:rPr>
          <w:b/>
          <w:lang w:eastAsia="en-US"/>
        </w:rPr>
        <w:t xml:space="preserve"> orientation.</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283C46B1" w:rsidR="00C77EBF" w:rsidRPr="00BC6E8D" w:rsidRDefault="002B4BA2" w:rsidP="00C77EBF">
            <w:pPr>
              <w:rPr>
                <w:lang w:val="en-GB" w:eastAsia="en-US"/>
              </w:rPr>
            </w:pPr>
            <w:r>
              <w:rPr>
                <w:lang w:val="en-GB" w:eastAsia="en-US"/>
              </w:rPr>
              <w:t>not relevant</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0B011285" w:rsidR="00C77EBF" w:rsidRPr="00BC6E8D" w:rsidRDefault="002B4BA2" w:rsidP="00C77EBF">
            <w:pPr>
              <w:rPr>
                <w:lang w:val="en-GB" w:eastAsia="en-US"/>
              </w:rPr>
            </w:pPr>
            <w:r>
              <w:rPr>
                <w:lang w:val="en-GB" w:eastAsia="en-US"/>
              </w:rPr>
              <w:t>not relevant</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948AC5E" w:rsidR="00C77EBF" w:rsidRPr="00BC6E8D" w:rsidRDefault="002B4BA2" w:rsidP="00C77EBF">
            <w:pPr>
              <w:rPr>
                <w:lang w:val="en-GB" w:eastAsia="en-US"/>
              </w:rPr>
            </w:pPr>
            <w:r>
              <w:rPr>
                <w:lang w:val="en-GB" w:eastAsia="en-US"/>
              </w:rPr>
              <w:t>not relevant</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lastRenderedPageBreak/>
        <w:tab/>
        <w:t>Conclusion</w:t>
      </w:r>
    </w:p>
    <w:p w14:paraId="043F6814" w14:textId="55BF2486" w:rsidR="00AA56D9" w:rsidRDefault="00D00445" w:rsidP="00AA56D9">
      <w:pPr>
        <w:rPr>
          <w:lang w:eastAsia="en-US"/>
        </w:rPr>
      </w:pPr>
      <w:r w:rsidRPr="00B55C47">
        <w:rPr>
          <w:lang w:eastAsia="en-US"/>
        </w:rPr>
        <w:t xml:space="preserve">In summary, </w:t>
      </w:r>
      <w:r w:rsidR="002B4BA2">
        <w:rPr>
          <w:lang w:eastAsia="en-US"/>
        </w:rPr>
        <w:t xml:space="preserve">including </w:t>
      </w:r>
      <w:r w:rsidR="00733077">
        <w:rPr>
          <w:lang w:eastAsia="en-US"/>
        </w:rPr>
        <w:t xml:space="preserve">the </w:t>
      </w:r>
      <w:r w:rsidR="002B4BA2">
        <w:rPr>
          <w:lang w:eastAsia="en-US"/>
        </w:rPr>
        <w:t>backward facing orientation in the QoQZ procedure results in unreasonably high QoQZ MU</w:t>
      </w:r>
      <w:r w:rsidR="004F6EA9">
        <w:rPr>
          <w:lang w:eastAsia="en-US"/>
        </w:rPr>
        <w:t xml:space="preserve"> not representing the electromagnetic properties of the chamber</w:t>
      </w:r>
      <w:r w:rsidR="00733077">
        <w:rPr>
          <w:lang w:eastAsia="en-US"/>
        </w:rPr>
        <w:t xml:space="preserve"> </w:t>
      </w:r>
      <w:r w:rsidR="004F6EA9">
        <w:rPr>
          <w:lang w:eastAsia="en-US"/>
        </w:rPr>
        <w:t>but depend</w:t>
      </w:r>
      <w:r w:rsidR="00733077">
        <w:rPr>
          <w:lang w:eastAsia="en-US"/>
        </w:rPr>
        <w:t>ing</w:t>
      </w:r>
      <w:r w:rsidR="004F6EA9">
        <w:rPr>
          <w:lang w:eastAsia="en-US"/>
        </w:rPr>
        <w:t xml:space="preserve"> on the VNA and its settings applied</w:t>
      </w:r>
      <w:r w:rsidR="002B4BA2">
        <w:rPr>
          <w:lang w:eastAsia="en-US"/>
        </w:rPr>
        <w:t xml:space="preserve">. </w:t>
      </w:r>
    </w:p>
    <w:p w14:paraId="0383588C" w14:textId="77777777" w:rsidR="00C34453" w:rsidRDefault="00C34453" w:rsidP="00C34453">
      <w:pPr>
        <w:rPr>
          <w:b/>
          <w:lang w:eastAsia="en-US"/>
        </w:rPr>
      </w:pPr>
      <w:bookmarkStart w:id="2" w:name="_Ref473660868"/>
      <w:bookmarkStart w:id="3" w:name="_Ref473660708"/>
      <w:bookmarkStart w:id="4" w:name="OLE_LINK6"/>
      <w:bookmarkStart w:id="5" w:name="OLE_LINK7"/>
      <w:r w:rsidRPr="00D75F11">
        <w:rPr>
          <w:b/>
          <w:lang w:eastAsia="en-US"/>
        </w:rPr>
        <w:t>Observation 1: In a well-designed system, the radiation of the reference antenna is absorbed when it is facing backward</w:t>
      </w:r>
      <w:r>
        <w:rPr>
          <w:b/>
          <w:lang w:eastAsia="en-US"/>
        </w:rPr>
        <w:t>s, i.e.</w:t>
      </w:r>
      <w:r w:rsidRPr="00D75F11">
        <w:rPr>
          <w:b/>
          <w:lang w:eastAsia="en-US"/>
        </w:rPr>
        <w:t xml:space="preserve"> to</w:t>
      </w:r>
      <w:r>
        <w:rPr>
          <w:b/>
          <w:lang w:eastAsia="en-US"/>
        </w:rPr>
        <w:t>wards,</w:t>
      </w:r>
      <w:r w:rsidRPr="00D75F11">
        <w:rPr>
          <w:b/>
          <w:lang w:eastAsia="en-US"/>
        </w:rPr>
        <w:t xml:space="preserve"> the positioner. </w:t>
      </w:r>
    </w:p>
    <w:p w14:paraId="60E8B552" w14:textId="77777777" w:rsidR="00C34453" w:rsidRDefault="00C34453" w:rsidP="00C34453">
      <w:pPr>
        <w:rPr>
          <w:b/>
          <w:lang w:eastAsia="en-US"/>
        </w:rPr>
      </w:pPr>
      <w:r>
        <w:rPr>
          <w:b/>
          <w:lang w:eastAsia="en-US"/>
        </w:rPr>
        <w:t xml:space="preserve">Observation 2: </w:t>
      </w:r>
      <w:r w:rsidRPr="00D75F11">
        <w:rPr>
          <w:b/>
          <w:lang w:eastAsia="en-US"/>
        </w:rPr>
        <w:t xml:space="preserve">The associated efficiency measurement result depends on the VNA model and settings and rather represents properties of the VNA than </w:t>
      </w:r>
      <w:r>
        <w:rPr>
          <w:b/>
          <w:lang w:eastAsia="en-US"/>
        </w:rPr>
        <w:t>t</w:t>
      </w:r>
      <w:r w:rsidRPr="00D75F11">
        <w:rPr>
          <w:b/>
          <w:lang w:eastAsia="en-US"/>
        </w:rPr>
        <w:t>he ones of the electromagnetic environment.</w:t>
      </w:r>
    </w:p>
    <w:p w14:paraId="4EAB1E28" w14:textId="3B179F14" w:rsidR="004F6EA9" w:rsidRDefault="004F6EA9" w:rsidP="004F6EA9">
      <w:pPr>
        <w:rPr>
          <w:b/>
          <w:lang w:eastAsia="en-US"/>
        </w:rPr>
      </w:pPr>
      <w:r>
        <w:rPr>
          <w:b/>
          <w:lang w:eastAsia="en-US"/>
        </w:rPr>
        <w:t>Observation 3: Considering measurements with backward orientation results in an extremely high measurement uncertainty for the QoQZ on the order of 35 dB.</w:t>
      </w:r>
    </w:p>
    <w:p w14:paraId="3D386989" w14:textId="77777777" w:rsidR="00D679A5" w:rsidRPr="00D679A5" w:rsidRDefault="00D679A5" w:rsidP="00D679A5">
      <w:pPr>
        <w:rPr>
          <w:b/>
          <w:lang w:eastAsia="en-US"/>
        </w:rPr>
      </w:pPr>
      <w:r w:rsidRPr="00D679A5">
        <w:rPr>
          <w:b/>
          <w:lang w:eastAsia="en-US"/>
        </w:rPr>
        <w:t>Observation 4: The misdetection of spurious emissions radiating towards the positioner is independent on the MU of the QoQZ and can only be impeded by a DUT repositioning approach.</w:t>
      </w:r>
    </w:p>
    <w:p w14:paraId="54B2A91F" w14:textId="77777777" w:rsidR="00733077" w:rsidRPr="002B4BA2" w:rsidRDefault="00733077" w:rsidP="00733077">
      <w:pPr>
        <w:rPr>
          <w:b/>
          <w:lang w:eastAsia="en-US"/>
        </w:rPr>
      </w:pPr>
      <w:r w:rsidRPr="002B4BA2">
        <w:rPr>
          <w:b/>
          <w:lang w:eastAsia="en-US"/>
        </w:rPr>
        <w:t xml:space="preserve">Proposal 1: </w:t>
      </w:r>
      <w:r>
        <w:rPr>
          <w:b/>
          <w:lang w:eastAsia="en-US"/>
        </w:rPr>
        <w:t>Limit the orientations of the reference antenna in the QoQZ procedure for spurious emissions to the forward facing orientation.</w:t>
      </w:r>
    </w:p>
    <w:p w14:paraId="0B2C4AC6" w14:textId="4895ED80" w:rsidR="00AF2B58" w:rsidRPr="00B55C47" w:rsidRDefault="00AF2B58" w:rsidP="00AF2B58">
      <w:pPr>
        <w:pStyle w:val="berschrift1"/>
        <w:numPr>
          <w:ilvl w:val="0"/>
          <w:numId w:val="0"/>
        </w:numPr>
        <w:ind w:left="432" w:hanging="432"/>
        <w:rPr>
          <w:rFonts w:cs="Arial"/>
          <w:lang w:val="en-US"/>
        </w:rPr>
      </w:pPr>
      <w:bookmarkStart w:id="6" w:name="_GoBack"/>
      <w:bookmarkEnd w:id="6"/>
      <w:r w:rsidRPr="00B55C47">
        <w:rPr>
          <w:rFonts w:cs="Arial"/>
          <w:lang w:val="en-US"/>
        </w:rPr>
        <w:t>References</w:t>
      </w:r>
    </w:p>
    <w:p w14:paraId="1E5293EF" w14:textId="76FC182B" w:rsidR="00D75F11" w:rsidRPr="00D75F11" w:rsidRDefault="00D75F11" w:rsidP="00D75F11">
      <w:pPr>
        <w:pStyle w:val="Listenabsatz"/>
        <w:numPr>
          <w:ilvl w:val="0"/>
          <w:numId w:val="4"/>
        </w:numPr>
        <w:rPr>
          <w:lang w:val="en-US"/>
        </w:rPr>
      </w:pPr>
      <w:r w:rsidRPr="00D75F11">
        <w:rPr>
          <w:lang w:val="pt-BR"/>
        </w:rPr>
        <w:t>R5-190386, QoQZ Procedure for Spurious Emissions</w:t>
      </w:r>
      <w:r>
        <w:rPr>
          <w:lang w:val="pt-BR"/>
        </w:rPr>
        <w:t xml:space="preserve">, </w:t>
      </w:r>
      <w:r w:rsidRPr="00D75F11">
        <w:rPr>
          <w:lang w:val="pt-BR"/>
        </w:rPr>
        <w:t>Keysight Technologies</w:t>
      </w:r>
      <w:r>
        <w:rPr>
          <w:lang w:val="pt-BR"/>
        </w:rPr>
        <w:t xml:space="preserve">, </w:t>
      </w:r>
      <w:r w:rsidRPr="00D75F11">
        <w:rPr>
          <w:lang w:val="en-GB"/>
        </w:rPr>
        <w:t>3GPP TSG RAN WG5 Meeting #4-5G-NR Adhoc, January 2019</w:t>
      </w:r>
    </w:p>
    <w:p w14:paraId="7A407922" w14:textId="75895A38" w:rsidR="00D75F11" w:rsidRDefault="00D75F11" w:rsidP="00D75F11">
      <w:pPr>
        <w:pStyle w:val="Listenabsatz"/>
        <w:numPr>
          <w:ilvl w:val="0"/>
          <w:numId w:val="4"/>
        </w:numPr>
        <w:rPr>
          <w:lang w:val="en-US"/>
        </w:rPr>
      </w:pPr>
      <w:r w:rsidRPr="00D75F11">
        <w:rPr>
          <w:lang w:val="pt-BR"/>
        </w:rPr>
        <w:t>R5-190567, Discussion on QoQZ for spurious emissions</w:t>
      </w:r>
      <w:r>
        <w:rPr>
          <w:lang w:val="pt-BR"/>
        </w:rPr>
        <w:t xml:space="preserve">, </w:t>
      </w:r>
      <w:r w:rsidRPr="00D75F11">
        <w:rPr>
          <w:lang w:val="pt-BR"/>
        </w:rPr>
        <w:t>Rohde &amp; Schwarz</w:t>
      </w:r>
      <w:r>
        <w:rPr>
          <w:lang w:val="pt-BR"/>
        </w:rPr>
        <w:t xml:space="preserve">, </w:t>
      </w:r>
      <w:r w:rsidRPr="00D75F11">
        <w:rPr>
          <w:lang w:val="en-GB"/>
        </w:rPr>
        <w:t>3GPP TSG RAN WG5 Meeting #4-5G-NR Adhoc, January 2019</w:t>
      </w:r>
    </w:p>
    <w:p w14:paraId="6CEE5EF6" w14:textId="3CD34F2F" w:rsidR="00D75F11" w:rsidRDefault="00D75F11" w:rsidP="00D75F11">
      <w:pPr>
        <w:pStyle w:val="Listenabsatz"/>
        <w:numPr>
          <w:ilvl w:val="0"/>
          <w:numId w:val="4"/>
        </w:numPr>
        <w:rPr>
          <w:lang w:val="en-US"/>
        </w:rPr>
      </w:pPr>
      <w:r w:rsidRPr="00D75F11">
        <w:rPr>
          <w:lang w:val="pt-BR"/>
        </w:rPr>
        <w:t>R5-190343</w:t>
      </w:r>
      <w:r>
        <w:rPr>
          <w:lang w:val="pt-BR"/>
        </w:rPr>
        <w:t xml:space="preserve">, </w:t>
      </w:r>
      <w:r w:rsidRPr="00D75F11">
        <w:rPr>
          <w:lang w:val="pt-BR"/>
        </w:rPr>
        <w:t>QoQZ characterization at out-of-band region</w:t>
      </w:r>
      <w:r>
        <w:rPr>
          <w:lang w:val="pt-BR"/>
        </w:rPr>
        <w:t xml:space="preserve">, </w:t>
      </w:r>
      <w:r w:rsidRPr="00D75F11">
        <w:rPr>
          <w:lang w:val="pt-BR"/>
        </w:rPr>
        <w:t>Anritsu</w:t>
      </w:r>
      <w:r>
        <w:rPr>
          <w:lang w:val="pt-BR"/>
        </w:rPr>
        <w:t xml:space="preserve">, </w:t>
      </w:r>
      <w:r w:rsidRPr="00D75F11">
        <w:rPr>
          <w:lang w:val="en-GB"/>
        </w:rPr>
        <w:t>3GPP TSG RAN WG5 Meeting #4-5G-NR Adhoc, January 2019</w:t>
      </w:r>
    </w:p>
    <w:p w14:paraId="6AED9EF5" w14:textId="38749E6C" w:rsidR="00E446E8" w:rsidRPr="00D75F11" w:rsidRDefault="006B5C72" w:rsidP="00D75F11">
      <w:pPr>
        <w:pStyle w:val="Listenabsatz"/>
        <w:numPr>
          <w:ilvl w:val="0"/>
          <w:numId w:val="4"/>
        </w:numPr>
        <w:rPr>
          <w:lang w:val="en-US"/>
        </w:rPr>
      </w:pPr>
      <w:r>
        <w:rPr>
          <w:lang w:val="en-GB"/>
        </w:rPr>
        <w:t>R5-1</w:t>
      </w:r>
      <w:r w:rsidR="00B3129D">
        <w:rPr>
          <w:lang w:val="en-GB"/>
        </w:rPr>
        <w:t>90</w:t>
      </w:r>
      <w:r w:rsidR="00D75F11">
        <w:rPr>
          <w:lang w:val="en-GB"/>
        </w:rPr>
        <w:t>942</w:t>
      </w:r>
      <w:r>
        <w:rPr>
          <w:lang w:val="en-GB"/>
        </w:rPr>
        <w:t xml:space="preserve">, </w:t>
      </w:r>
      <w:r w:rsidR="00D75F11" w:rsidRPr="00D75F11">
        <w:rPr>
          <w:lang w:val="en-US"/>
        </w:rPr>
        <w:t>Way Forward on QoQZ Procedure for Spurious Emissions</w:t>
      </w:r>
      <w:r w:rsidR="00B3129D">
        <w:rPr>
          <w:lang w:val="en-US"/>
        </w:rPr>
        <w:t xml:space="preserve">, </w:t>
      </w:r>
      <w:r w:rsidR="00D75F11" w:rsidRPr="00D75F11">
        <w:rPr>
          <w:lang w:val="en-GB"/>
        </w:rPr>
        <w:t>Keysight Technologies, Rohde</w:t>
      </w:r>
      <w:r w:rsidR="00D75F11">
        <w:rPr>
          <w:lang w:val="en-GB"/>
        </w:rPr>
        <w:t> </w:t>
      </w:r>
      <w:r w:rsidR="00D75F11" w:rsidRPr="00D75F11">
        <w:rPr>
          <w:lang w:val="en-GB"/>
        </w:rPr>
        <w:t>&amp;</w:t>
      </w:r>
      <w:r w:rsidR="00D75F11">
        <w:rPr>
          <w:lang w:val="en-GB"/>
        </w:rPr>
        <w:t> </w:t>
      </w:r>
      <w:r w:rsidR="00D75F11" w:rsidRPr="00D75F11">
        <w:rPr>
          <w:lang w:val="en-GB"/>
        </w:rPr>
        <w:t>Schwarz, Anritsu</w:t>
      </w:r>
      <w:r w:rsidR="00D75F11">
        <w:rPr>
          <w:lang w:val="en-GB"/>
        </w:rPr>
        <w:t xml:space="preserve">, </w:t>
      </w:r>
      <w:r w:rsidR="00E446E8" w:rsidRPr="00D75F11">
        <w:rPr>
          <w:lang w:val="en-GB"/>
        </w:rPr>
        <w:t>3GPP TSG RAN WG</w:t>
      </w:r>
      <w:r w:rsidR="005F0749" w:rsidRPr="00D75F11">
        <w:rPr>
          <w:lang w:val="en-GB"/>
        </w:rPr>
        <w:t>5 Meeting #</w:t>
      </w:r>
      <w:r w:rsidR="00B3129D" w:rsidRPr="00D75F11">
        <w:rPr>
          <w:lang w:val="en-GB"/>
        </w:rPr>
        <w:t>4-5G-NR Adhoc</w:t>
      </w:r>
      <w:r w:rsidR="00E446E8" w:rsidRPr="00D75F11">
        <w:rPr>
          <w:lang w:val="en-GB"/>
        </w:rPr>
        <w:t xml:space="preserve">, </w:t>
      </w:r>
      <w:r w:rsidR="00B3129D" w:rsidRPr="00D75F11">
        <w:rPr>
          <w:lang w:val="en-GB"/>
        </w:rPr>
        <w:t>January 2019</w:t>
      </w:r>
      <w:bookmarkEnd w:id="2"/>
      <w:bookmarkEnd w:id="3"/>
      <w:bookmarkEnd w:id="4"/>
      <w:bookmarkEnd w:id="5"/>
    </w:p>
    <w:sectPr w:rsidR="00E446E8" w:rsidRPr="00D75F1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7460D" w14:textId="77777777" w:rsidR="008767BB" w:rsidRDefault="008767BB" w:rsidP="00371D7D">
      <w:r>
        <w:separator/>
      </w:r>
    </w:p>
  </w:endnote>
  <w:endnote w:type="continuationSeparator" w:id="0">
    <w:p w14:paraId="62F64A59" w14:textId="77777777" w:rsidR="008767BB" w:rsidRDefault="008767B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17B771E"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33077">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8998C" w14:textId="77777777" w:rsidR="008767BB" w:rsidRDefault="008767BB" w:rsidP="00371D7D">
      <w:r>
        <w:separator/>
      </w:r>
    </w:p>
  </w:footnote>
  <w:footnote w:type="continuationSeparator" w:id="0">
    <w:p w14:paraId="11AF3147" w14:textId="77777777" w:rsidR="008767BB" w:rsidRDefault="008767B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4BA2"/>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672"/>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6EA9"/>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0D4A"/>
    <w:rsid w:val="005F1B0E"/>
    <w:rsid w:val="005F2CC8"/>
    <w:rsid w:val="005F2E71"/>
    <w:rsid w:val="005F2EDB"/>
    <w:rsid w:val="005F37CF"/>
    <w:rsid w:val="005F5518"/>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0CFC"/>
    <w:rsid w:val="0067274C"/>
    <w:rsid w:val="00674D96"/>
    <w:rsid w:val="00675624"/>
    <w:rsid w:val="00680FD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077"/>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767BB"/>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705"/>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07950"/>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ECF"/>
    <w:rsid w:val="00BD4781"/>
    <w:rsid w:val="00BD55A2"/>
    <w:rsid w:val="00BD6319"/>
    <w:rsid w:val="00BD73CC"/>
    <w:rsid w:val="00BE29DD"/>
    <w:rsid w:val="00BE5364"/>
    <w:rsid w:val="00BF1935"/>
    <w:rsid w:val="00BF268B"/>
    <w:rsid w:val="00BF3FA7"/>
    <w:rsid w:val="00BF4E5F"/>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453"/>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679A5"/>
    <w:rsid w:val="00D701BC"/>
    <w:rsid w:val="00D71543"/>
    <w:rsid w:val="00D75F11"/>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38BD"/>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3026530">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B2A6E-76F9-4F97-BF2F-ECCF2521C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4296</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2019-02-08T06:55:00Z</dcterms:created>
  <dcterms:modified xsi:type="dcterms:W3CDTF">2019-02-16T05:26:00Z</dcterms:modified>
  <cp:category/>
</cp:coreProperties>
</file>